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5EC0" w14:textId="77777777" w:rsidR="00805D34" w:rsidRDefault="00805D34" w:rsidP="00805D34">
      <w:pPr>
        <w:spacing w:line="360" w:lineRule="auto"/>
        <w:jc w:val="center"/>
        <w:rPr>
          <w:rFonts w:ascii="Calibri" w:hAnsi="Calibri" w:cs="Calibri"/>
          <w:b/>
          <w:sz w:val="24"/>
          <w:szCs w:val="24"/>
          <w:lang w:eastAsia="pt-PT"/>
        </w:rPr>
      </w:pPr>
      <w:bookmarkStart w:id="0" w:name="_GoBack"/>
      <w:bookmarkEnd w:id="0"/>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8757"/>
      </w:tblGrid>
      <w:tr w:rsidR="00805D34" w:rsidRPr="00320851" w14:paraId="1E87AE22" w14:textId="77777777" w:rsidTr="004C4AB8">
        <w:tc>
          <w:tcPr>
            <w:tcW w:w="10314" w:type="dxa"/>
            <w:gridSpan w:val="3"/>
            <w:shd w:val="clear" w:color="auto" w:fill="auto"/>
          </w:tcPr>
          <w:p w14:paraId="494FDF10" w14:textId="77777777" w:rsidR="00805D34" w:rsidRPr="00320851" w:rsidRDefault="00805D34" w:rsidP="004C4AB8">
            <w:pPr>
              <w:ind w:left="-255" w:firstLine="255"/>
              <w:jc w:val="center"/>
              <w:rPr>
                <w:rFonts w:cs="Arial"/>
                <w:b/>
                <w:szCs w:val="18"/>
                <w:lang w:eastAsia="pt-PT"/>
              </w:rPr>
            </w:pPr>
            <w:r w:rsidRPr="00320851">
              <w:rPr>
                <w:rFonts w:cs="Arial"/>
                <w:b/>
                <w:szCs w:val="18"/>
                <w:lang w:eastAsia="pt-PT"/>
              </w:rPr>
              <w:t>DECLARAÇÃO DO BENEFICIÁRIO</w:t>
            </w:r>
          </w:p>
          <w:p w14:paraId="182D57A2" w14:textId="77777777" w:rsidR="00805D34" w:rsidRPr="00320851" w:rsidRDefault="00805D34" w:rsidP="004C4AB8">
            <w:pPr>
              <w:ind w:left="-255" w:firstLine="255"/>
              <w:jc w:val="center"/>
              <w:rPr>
                <w:rFonts w:cs="Arial"/>
                <w:b/>
                <w:sz w:val="16"/>
                <w:szCs w:val="16"/>
              </w:rPr>
            </w:pPr>
            <w:r w:rsidRPr="00320851">
              <w:rPr>
                <w:rFonts w:cs="Arial"/>
                <w:b/>
                <w:szCs w:val="18"/>
                <w:lang w:eastAsia="pt-PT"/>
              </w:rPr>
              <w:t>LINHA DE APOIO À ECONOMIA COVID-19 EMPRESAS DE MONTAGEM DE EVENTOS</w:t>
            </w:r>
          </w:p>
        </w:tc>
      </w:tr>
      <w:tr w:rsidR="00805D34" w:rsidRPr="00320851" w14:paraId="0A3EB9A4" w14:textId="77777777" w:rsidTr="004C4AB8">
        <w:tc>
          <w:tcPr>
            <w:tcW w:w="10314" w:type="dxa"/>
            <w:gridSpan w:val="3"/>
            <w:shd w:val="clear" w:color="auto" w:fill="auto"/>
          </w:tcPr>
          <w:p w14:paraId="562FFE61" w14:textId="77777777" w:rsidR="00805D34" w:rsidRPr="00320851" w:rsidRDefault="00805D34" w:rsidP="004C4AB8">
            <w:pPr>
              <w:ind w:left="-255" w:firstLine="255"/>
              <w:rPr>
                <w:rFonts w:cs="Arial"/>
                <w:sz w:val="16"/>
                <w:szCs w:val="16"/>
              </w:rPr>
            </w:pPr>
            <w:r w:rsidRPr="00320851">
              <w:rPr>
                <w:rFonts w:cs="Arial"/>
                <w:sz w:val="16"/>
                <w:szCs w:val="16"/>
              </w:rPr>
              <w:t>O beneficiário identificado pelo,</w:t>
            </w:r>
          </w:p>
        </w:tc>
      </w:tr>
      <w:tr w:rsidR="00805D34" w:rsidRPr="00320851" w14:paraId="21DB65CE" w14:textId="77777777" w:rsidTr="004C4AB8">
        <w:tc>
          <w:tcPr>
            <w:tcW w:w="1557" w:type="dxa"/>
            <w:gridSpan w:val="2"/>
            <w:shd w:val="clear" w:color="auto" w:fill="auto"/>
          </w:tcPr>
          <w:p w14:paraId="2364795C" w14:textId="77777777" w:rsidR="00805D34" w:rsidRPr="00320851" w:rsidRDefault="00805D34" w:rsidP="004C4AB8">
            <w:pPr>
              <w:jc w:val="center"/>
              <w:rPr>
                <w:rFonts w:cs="Arial"/>
                <w:b/>
                <w:sz w:val="16"/>
                <w:szCs w:val="16"/>
              </w:rPr>
            </w:pPr>
            <w:r w:rsidRPr="00320851">
              <w:rPr>
                <w:rFonts w:cs="Arial"/>
                <w:b/>
                <w:sz w:val="16"/>
                <w:szCs w:val="16"/>
              </w:rPr>
              <w:t>NIF</w:t>
            </w:r>
          </w:p>
        </w:tc>
        <w:tc>
          <w:tcPr>
            <w:tcW w:w="8757" w:type="dxa"/>
            <w:shd w:val="clear" w:color="auto" w:fill="auto"/>
          </w:tcPr>
          <w:p w14:paraId="60907B69" w14:textId="77777777" w:rsidR="00805D34" w:rsidRPr="00320851" w:rsidRDefault="00805D34" w:rsidP="004C4AB8">
            <w:pPr>
              <w:jc w:val="center"/>
              <w:rPr>
                <w:rFonts w:cs="Arial"/>
                <w:sz w:val="16"/>
                <w:szCs w:val="16"/>
                <w:highlight w:val="yellow"/>
              </w:rPr>
            </w:pPr>
          </w:p>
        </w:tc>
      </w:tr>
      <w:tr w:rsidR="00805D34" w:rsidRPr="00320851" w14:paraId="1D9FAD69" w14:textId="77777777" w:rsidTr="004C4AB8">
        <w:tc>
          <w:tcPr>
            <w:tcW w:w="1557" w:type="dxa"/>
            <w:gridSpan w:val="2"/>
            <w:shd w:val="clear" w:color="auto" w:fill="auto"/>
          </w:tcPr>
          <w:p w14:paraId="78DD5092" w14:textId="77777777" w:rsidR="00805D34" w:rsidRPr="00320851" w:rsidRDefault="00805D34" w:rsidP="004C4AB8">
            <w:pPr>
              <w:jc w:val="center"/>
              <w:rPr>
                <w:rFonts w:cs="Arial"/>
                <w:b/>
                <w:sz w:val="16"/>
                <w:szCs w:val="16"/>
              </w:rPr>
            </w:pPr>
            <w:r w:rsidRPr="00320851">
              <w:rPr>
                <w:rFonts w:cs="Arial"/>
                <w:b/>
                <w:sz w:val="16"/>
                <w:szCs w:val="16"/>
              </w:rPr>
              <w:t>Nome</w:t>
            </w:r>
          </w:p>
        </w:tc>
        <w:tc>
          <w:tcPr>
            <w:tcW w:w="8757" w:type="dxa"/>
            <w:shd w:val="clear" w:color="auto" w:fill="auto"/>
          </w:tcPr>
          <w:p w14:paraId="5D68EED8" w14:textId="77777777" w:rsidR="00805D34" w:rsidRPr="00320851" w:rsidRDefault="00805D34" w:rsidP="004C4AB8">
            <w:pPr>
              <w:jc w:val="center"/>
              <w:rPr>
                <w:rFonts w:cs="Arial"/>
                <w:sz w:val="16"/>
                <w:szCs w:val="16"/>
                <w:highlight w:val="yellow"/>
              </w:rPr>
            </w:pPr>
          </w:p>
        </w:tc>
      </w:tr>
      <w:tr w:rsidR="00805D34" w:rsidRPr="00320851" w14:paraId="6888C536" w14:textId="77777777" w:rsidTr="004C4AB8">
        <w:tc>
          <w:tcPr>
            <w:tcW w:w="10314" w:type="dxa"/>
            <w:gridSpan w:val="3"/>
            <w:shd w:val="clear" w:color="auto" w:fill="auto"/>
          </w:tcPr>
          <w:p w14:paraId="11CC5FED"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Declara que,</w:t>
            </w:r>
          </w:p>
        </w:tc>
      </w:tr>
      <w:tr w:rsidR="00805D34" w:rsidRPr="00320851" w14:paraId="15ECC38C" w14:textId="77777777" w:rsidTr="004C4AB8">
        <w:tc>
          <w:tcPr>
            <w:tcW w:w="391" w:type="dxa"/>
            <w:shd w:val="clear" w:color="auto" w:fill="auto"/>
          </w:tcPr>
          <w:p w14:paraId="620298B5"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t>1)</w:t>
            </w:r>
          </w:p>
        </w:tc>
        <w:tc>
          <w:tcPr>
            <w:tcW w:w="9923" w:type="dxa"/>
            <w:gridSpan w:val="2"/>
            <w:shd w:val="clear" w:color="auto" w:fill="auto"/>
          </w:tcPr>
          <w:p w14:paraId="18A94DC5"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 xml:space="preserve">Não era considerado em dificuldades a 31 de </w:t>
            </w:r>
            <w:proofErr w:type="gramStart"/>
            <w:r w:rsidRPr="00320851">
              <w:rPr>
                <w:rFonts w:cs="Arial"/>
                <w:sz w:val="16"/>
                <w:szCs w:val="16"/>
              </w:rPr>
              <w:t>Dezembro</w:t>
            </w:r>
            <w:proofErr w:type="gramEnd"/>
            <w:r w:rsidRPr="00320851">
              <w:rPr>
                <w:rFonts w:cs="Arial"/>
                <w:sz w:val="16"/>
                <w:szCs w:val="16"/>
              </w:rPr>
              <w:t xml:space="preserve"> de 2019, nos termos do nº 18 do Artigo 2º do Regulamento da Comissão Europeia nº 651/2014 de 17 de junho, nomeadamente,</w:t>
            </w:r>
          </w:p>
          <w:p w14:paraId="32193544"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0C1D3C1C"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5897BFCF"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c) Não foi objeto de um processo coletivo de insolvência ou preencher, de acordo com o respetivo direito nacional, os critérios para ser submetida a um processo coletivo de insolvência a pedido dos seus credores.</w:t>
            </w:r>
          </w:p>
          <w:p w14:paraId="50A64689"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d) Não recebeu um auxílio de emergência e ainda não tiver reembolsado o empréstimo ou terminada a garantia, ou tiver recebido um auxílio à reestruturação e ainda estiver sujeita a um plano de reestruturação.</w:t>
            </w:r>
          </w:p>
        </w:tc>
      </w:tr>
      <w:tr w:rsidR="00805D34" w:rsidRPr="00320851" w14:paraId="41C9845C" w14:textId="77777777" w:rsidTr="004C4AB8">
        <w:tc>
          <w:tcPr>
            <w:tcW w:w="391" w:type="dxa"/>
            <w:shd w:val="clear" w:color="auto" w:fill="auto"/>
          </w:tcPr>
          <w:p w14:paraId="37169A2B"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t>2)</w:t>
            </w:r>
          </w:p>
        </w:tc>
        <w:tc>
          <w:tcPr>
            <w:tcW w:w="9923" w:type="dxa"/>
            <w:gridSpan w:val="2"/>
            <w:shd w:val="clear" w:color="auto" w:fill="auto"/>
          </w:tcPr>
          <w:p w14:paraId="792521F5"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Não é:</w:t>
            </w:r>
          </w:p>
          <w:p w14:paraId="2094B901"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a) Entidade com sede ou direção efetiva em países, territórios ou regiões com regime fiscal claramente mais favorável, quando estes constem da lista aprovada pela </w:t>
            </w:r>
            <w:hyperlink r:id="rId5" w:tgtFrame="_blank" w:tooltip="Portaria n.º 150/2004" w:history="1">
              <w:r w:rsidRPr="00320851">
                <w:rPr>
                  <w:rFonts w:cs="Arial"/>
                  <w:sz w:val="16"/>
                  <w:szCs w:val="16"/>
                </w:rPr>
                <w:t>Portaria n.º 150/2004</w:t>
              </w:r>
            </w:hyperlink>
            <w:r w:rsidRPr="00320851">
              <w:rPr>
                <w:rFonts w:cs="Arial"/>
                <w:sz w:val="16"/>
                <w:szCs w:val="16"/>
              </w:rPr>
              <w:t>, de 13 de fevereiro;</w:t>
            </w:r>
          </w:p>
          <w:p w14:paraId="048A1EBA"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320851">
                <w:rPr>
                  <w:rFonts w:cs="Arial"/>
                  <w:sz w:val="16"/>
                  <w:szCs w:val="16"/>
                </w:rPr>
                <w:t>Portaria n.º 150/2004</w:t>
              </w:r>
            </w:hyperlink>
            <w:r w:rsidRPr="00320851">
              <w:rPr>
                <w:rFonts w:cs="Arial"/>
                <w:sz w:val="16"/>
                <w:szCs w:val="16"/>
              </w:rPr>
              <w:t>, de 13 de fevereiro, ou cujo beneficiário efetivo tenha domicílio naqueles países, territórios ou regiões.</w:t>
            </w:r>
          </w:p>
        </w:tc>
      </w:tr>
      <w:tr w:rsidR="00805D34" w:rsidRPr="00320851" w14:paraId="4C954774" w14:textId="77777777" w:rsidTr="004C4AB8">
        <w:tc>
          <w:tcPr>
            <w:tcW w:w="391" w:type="dxa"/>
            <w:shd w:val="clear" w:color="auto" w:fill="auto"/>
          </w:tcPr>
          <w:p w14:paraId="6AE79F80"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t>3)</w:t>
            </w:r>
          </w:p>
        </w:tc>
        <w:tc>
          <w:tcPr>
            <w:tcW w:w="9923" w:type="dxa"/>
            <w:gridSpan w:val="2"/>
            <w:shd w:val="clear" w:color="auto" w:fill="auto"/>
          </w:tcPr>
          <w:p w14:paraId="52DEE8C9"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e a devolução dos apoios concedidos nos termos definidos contratualmente.</w:t>
            </w:r>
          </w:p>
        </w:tc>
      </w:tr>
      <w:tr w:rsidR="00805D34" w:rsidRPr="00320851" w14:paraId="5752F1BD" w14:textId="77777777" w:rsidTr="004C4AB8">
        <w:tc>
          <w:tcPr>
            <w:tcW w:w="391" w:type="dxa"/>
            <w:shd w:val="clear" w:color="auto" w:fill="auto"/>
          </w:tcPr>
          <w:p w14:paraId="15E2FE37"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lastRenderedPageBreak/>
              <w:t>4)</w:t>
            </w:r>
          </w:p>
        </w:tc>
        <w:tc>
          <w:tcPr>
            <w:tcW w:w="9923" w:type="dxa"/>
            <w:gridSpan w:val="2"/>
            <w:shd w:val="clear" w:color="auto" w:fill="auto"/>
          </w:tcPr>
          <w:p w14:paraId="403F4BFD"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 xml:space="preserve">Caso à data do financiamento não tenha a situação regularizada junto da Administração Fiscal e da Segurança Social relativamente a dívidas vencidas após março de 2020 a aderir a plano </w:t>
            </w:r>
            <w:proofErr w:type="spellStart"/>
            <w:r w:rsidRPr="00320851">
              <w:rPr>
                <w:rFonts w:cs="Arial"/>
                <w:sz w:val="16"/>
                <w:szCs w:val="16"/>
              </w:rPr>
              <w:t>prestacional</w:t>
            </w:r>
            <w:proofErr w:type="spellEnd"/>
            <w:r w:rsidRPr="00320851">
              <w:rPr>
                <w:rFonts w:cs="Arial"/>
                <w:sz w:val="16"/>
                <w:szCs w:val="16"/>
              </w:rPr>
              <w:t xml:space="preserve">, nos termos do n.º 3 </w:t>
            </w:r>
            <w:proofErr w:type="gramStart"/>
            <w:r w:rsidRPr="00320851">
              <w:rPr>
                <w:rFonts w:cs="Arial"/>
                <w:sz w:val="16"/>
                <w:szCs w:val="16"/>
              </w:rPr>
              <w:t>do artigos</w:t>
            </w:r>
            <w:proofErr w:type="gramEnd"/>
            <w:r w:rsidRPr="00320851">
              <w:rPr>
                <w:rFonts w:cs="Arial"/>
                <w:sz w:val="16"/>
                <w:szCs w:val="16"/>
              </w:rPr>
              <w:t xml:space="preserve"> 359º da Lei n.º 75-B/2020</w:t>
            </w:r>
          </w:p>
        </w:tc>
      </w:tr>
      <w:tr w:rsidR="00805D34" w:rsidRPr="00320851" w14:paraId="2895D4B0" w14:textId="77777777" w:rsidTr="004C4AB8">
        <w:tc>
          <w:tcPr>
            <w:tcW w:w="391" w:type="dxa"/>
            <w:shd w:val="clear" w:color="auto" w:fill="auto"/>
          </w:tcPr>
          <w:p w14:paraId="2410CEC8"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t>5)</w:t>
            </w:r>
          </w:p>
        </w:tc>
        <w:tc>
          <w:tcPr>
            <w:tcW w:w="9923" w:type="dxa"/>
            <w:gridSpan w:val="2"/>
            <w:shd w:val="clear" w:color="auto" w:fill="auto"/>
          </w:tcPr>
          <w:p w14:paraId="33D99072"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Autorizar o BPF e o FCGM a disponibilizar os dados da presente operação às entidades participadas pelo BPF, a qualquer entidade fiscalizadora, reguladora ou de supervisão no âmbito do exercício das suas competências legais ou que lhe tenham sido atribuídas relativamente a uma linha de apoio específica, ou a entidades que controlem, tutelem, auditem ou superintendam o BPF ou o Fundo de Contragarantia Mútuo, bem como a divulgar esses dados sempre que tal seja necessário para cumprimento de obrigações legais ou em virtude de decisão judicial.</w:t>
            </w:r>
          </w:p>
          <w:p w14:paraId="3C872B53" w14:textId="77777777" w:rsidR="00805D34" w:rsidRPr="00320851" w:rsidRDefault="00805D34" w:rsidP="004C4AB8">
            <w:pPr>
              <w:autoSpaceDE w:val="0"/>
              <w:autoSpaceDN w:val="0"/>
              <w:adjustRightInd w:val="0"/>
              <w:rPr>
                <w:rFonts w:cs="Arial"/>
                <w:sz w:val="16"/>
                <w:szCs w:val="16"/>
              </w:rPr>
            </w:pPr>
            <w:r w:rsidRPr="00320851">
              <w:rPr>
                <w:rFonts w:cs="Arial"/>
                <w:sz w:val="16"/>
                <w:szCs w:val="16"/>
              </w:rPr>
              <w:t xml:space="preserve">Autorizar o BPF, o FCGM e as entidades participadas pelo BPF a divulgar aos bancos qualquer informação de que disponham sobre o beneficiário e de que o banco necessite no âmbito das operações submetidas pelos bancos ao abrigo da linha </w:t>
            </w:r>
            <w:proofErr w:type="gramStart"/>
            <w:r w:rsidRPr="00320851">
              <w:rPr>
                <w:rFonts w:cs="Arial"/>
                <w:sz w:val="16"/>
                <w:szCs w:val="16"/>
              </w:rPr>
              <w:t>supra referida</w:t>
            </w:r>
            <w:proofErr w:type="gramEnd"/>
            <w:r w:rsidRPr="00320851">
              <w:rPr>
                <w:rFonts w:cs="Arial"/>
                <w:sz w:val="16"/>
                <w:szCs w:val="16"/>
              </w:rPr>
              <w:t>.</w:t>
            </w:r>
          </w:p>
        </w:tc>
      </w:tr>
      <w:tr w:rsidR="00805D34" w:rsidRPr="00320851" w14:paraId="10F9D4D8" w14:textId="77777777" w:rsidTr="004C4AB8">
        <w:tc>
          <w:tcPr>
            <w:tcW w:w="391" w:type="dxa"/>
            <w:shd w:val="clear" w:color="auto" w:fill="auto"/>
          </w:tcPr>
          <w:p w14:paraId="170D2CFF"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t>6)</w:t>
            </w:r>
          </w:p>
        </w:tc>
        <w:tc>
          <w:tcPr>
            <w:tcW w:w="9923" w:type="dxa"/>
            <w:gridSpan w:val="2"/>
            <w:shd w:val="clear" w:color="auto" w:fill="auto"/>
          </w:tcPr>
          <w:p w14:paraId="6F83E9EE" w14:textId="77777777" w:rsidR="00805D34" w:rsidRPr="00320851" w:rsidRDefault="00805D34" w:rsidP="004C4AB8">
            <w:pPr>
              <w:autoSpaceDE w:val="0"/>
              <w:autoSpaceDN w:val="0"/>
              <w:adjustRightInd w:val="0"/>
              <w:spacing w:after="0" w:line="240" w:lineRule="auto"/>
              <w:rPr>
                <w:rFonts w:cs="Arial"/>
                <w:sz w:val="16"/>
                <w:szCs w:val="16"/>
              </w:rPr>
            </w:pPr>
            <w:r w:rsidRPr="00320851">
              <w:rPr>
                <w:rFonts w:cs="Arial"/>
                <w:noProof/>
                <w:sz w:val="16"/>
                <w:szCs w:val="16"/>
              </w:rPr>
              <mc:AlternateContent>
                <mc:Choice Requires="wps">
                  <w:drawing>
                    <wp:anchor distT="0" distB="0" distL="114300" distR="114300" simplePos="0" relativeHeight="251659264" behindDoc="0" locked="0" layoutInCell="1" allowOverlap="1" wp14:anchorId="54FBE82F" wp14:editId="5F073F92">
                      <wp:simplePos x="0" y="0"/>
                      <wp:positionH relativeFrom="column">
                        <wp:posOffset>-15212</wp:posOffset>
                      </wp:positionH>
                      <wp:positionV relativeFrom="paragraph">
                        <wp:posOffset>323651</wp:posOffset>
                      </wp:positionV>
                      <wp:extent cx="197893" cy="197893"/>
                      <wp:effectExtent l="0" t="0" r="12065" b="12065"/>
                      <wp:wrapNone/>
                      <wp:docPr id="9" name="Text Box 9"/>
                      <wp:cNvGraphicFramePr/>
                      <a:graphic xmlns:a="http://schemas.openxmlformats.org/drawingml/2006/main">
                        <a:graphicData uri="http://schemas.microsoft.com/office/word/2010/wordprocessingShape">
                          <wps:wsp>
                            <wps:cNvSpPr txBox="1"/>
                            <wps:spPr>
                              <a:xfrm>
                                <a:off x="0" y="0"/>
                                <a:ext cx="197893" cy="197893"/>
                              </a:xfrm>
                              <a:prstGeom prst="rect">
                                <a:avLst/>
                              </a:prstGeom>
                              <a:solidFill>
                                <a:sysClr val="window" lastClr="FFFFFF"/>
                              </a:solidFill>
                              <a:ln w="6350">
                                <a:solidFill>
                                  <a:prstClr val="black"/>
                                </a:solidFill>
                              </a:ln>
                            </wps:spPr>
                            <wps:txbx>
                              <w:txbxContent>
                                <w:p w14:paraId="76974CBE" w14:textId="77777777" w:rsidR="00805D34" w:rsidRPr="006E0735" w:rsidRDefault="00805D34" w:rsidP="00805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BE82F" id="_x0000_t202" coordsize="21600,21600" o:spt="202" path="m,l,21600r21600,l21600,xe">
                      <v:stroke joinstyle="miter"/>
                      <v:path gradientshapeok="t" o:connecttype="rect"/>
                    </v:shapetype>
                    <v:shape id="Text Box 9" o:spid="_x0000_s1026" type="#_x0000_t202" style="position:absolute;left:0;text-align:left;margin-left:-1.2pt;margin-top:25.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" fillcolor="window" strokeweight=".5pt">
                      <v:textbox>
                        <w:txbxContent>
                          <w:p w14:paraId="76974CBE" w14:textId="77777777" w:rsidR="00805D34" w:rsidRPr="006E0735" w:rsidRDefault="00805D34" w:rsidP="00805D34"/>
                        </w:txbxContent>
                      </v:textbox>
                    </v:shape>
                  </w:pict>
                </mc:Fallback>
              </mc:AlternateContent>
            </w:r>
            <w:r w:rsidRPr="00320851">
              <w:rPr>
                <w:rFonts w:cs="Arial"/>
                <w:sz w:val="16"/>
                <w:szCs w:val="16"/>
              </w:rPr>
              <w:t>(Optar por uma das declarações se não apresentar certificado PME)</w:t>
            </w:r>
          </w:p>
          <w:p w14:paraId="32B2519D" w14:textId="77777777" w:rsidR="00805D34" w:rsidRPr="00320851" w:rsidRDefault="00805D34" w:rsidP="004C4AB8">
            <w:pPr>
              <w:autoSpaceDE w:val="0"/>
              <w:autoSpaceDN w:val="0"/>
              <w:adjustRightInd w:val="0"/>
              <w:spacing w:after="0" w:line="240" w:lineRule="auto"/>
              <w:rPr>
                <w:rFonts w:cs="Arial"/>
                <w:sz w:val="16"/>
                <w:szCs w:val="16"/>
              </w:rPr>
            </w:pPr>
          </w:p>
          <w:p w14:paraId="7DF1BB23" w14:textId="77777777" w:rsidR="00805D34" w:rsidRPr="00320851" w:rsidRDefault="00805D34" w:rsidP="004C4AB8">
            <w:pPr>
              <w:autoSpaceDE w:val="0"/>
              <w:autoSpaceDN w:val="0"/>
              <w:adjustRightInd w:val="0"/>
              <w:spacing w:after="0" w:line="240" w:lineRule="auto"/>
              <w:rPr>
                <w:rFonts w:cs="Arial"/>
                <w:sz w:val="16"/>
                <w:szCs w:val="16"/>
              </w:rPr>
            </w:pPr>
            <w:r w:rsidRPr="00320851">
              <w:rPr>
                <w:rFonts w:cs="Arial"/>
                <w:sz w:val="16"/>
                <w:szCs w:val="16"/>
              </w:rPr>
              <w:t xml:space="preserve">          Declaração de Empresa de Pequena-Média Capitalização – </w:t>
            </w:r>
            <w:proofErr w:type="spellStart"/>
            <w:r w:rsidRPr="00320851">
              <w:rPr>
                <w:rFonts w:cs="Arial"/>
                <w:sz w:val="16"/>
                <w:szCs w:val="16"/>
              </w:rPr>
              <w:t>Small</w:t>
            </w:r>
            <w:proofErr w:type="spellEnd"/>
            <w:r w:rsidRPr="00320851">
              <w:rPr>
                <w:rFonts w:cs="Arial"/>
                <w:sz w:val="16"/>
                <w:szCs w:val="16"/>
              </w:rPr>
              <w:t xml:space="preserve"> </w:t>
            </w:r>
            <w:proofErr w:type="spellStart"/>
            <w:r w:rsidRPr="00320851">
              <w:rPr>
                <w:rFonts w:cs="Arial"/>
                <w:sz w:val="16"/>
                <w:szCs w:val="16"/>
              </w:rPr>
              <w:t>MidCap</w:t>
            </w:r>
            <w:proofErr w:type="spellEnd"/>
          </w:p>
          <w:p w14:paraId="3DA53C61" w14:textId="77777777" w:rsidR="00805D34" w:rsidRPr="00320851" w:rsidRDefault="00805D34" w:rsidP="004C4AB8">
            <w:pPr>
              <w:numPr>
                <w:ilvl w:val="0"/>
                <w:numId w:val="1"/>
              </w:numPr>
              <w:autoSpaceDE w:val="0"/>
              <w:autoSpaceDN w:val="0"/>
              <w:adjustRightInd w:val="0"/>
              <w:spacing w:after="0" w:line="240" w:lineRule="auto"/>
              <w:rPr>
                <w:rFonts w:eastAsia="Times New Roman" w:cs="Arial"/>
                <w:sz w:val="16"/>
                <w:szCs w:val="16"/>
              </w:rPr>
            </w:pPr>
            <w:r w:rsidRPr="00320851">
              <w:rPr>
                <w:rFonts w:eastAsia="Times New Roman" w:cs="Arial"/>
                <w:sz w:val="16"/>
                <w:szCs w:val="16"/>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70A2916" w14:textId="77777777" w:rsidR="00805D34" w:rsidRPr="00320851" w:rsidRDefault="00805D34" w:rsidP="004C4AB8">
            <w:pPr>
              <w:numPr>
                <w:ilvl w:val="0"/>
                <w:numId w:val="1"/>
              </w:numPr>
              <w:autoSpaceDE w:val="0"/>
              <w:autoSpaceDN w:val="0"/>
              <w:adjustRightInd w:val="0"/>
              <w:spacing w:after="0" w:line="240" w:lineRule="auto"/>
              <w:rPr>
                <w:rFonts w:eastAsia="Times New Roman" w:cs="Arial"/>
                <w:sz w:val="16"/>
                <w:szCs w:val="16"/>
              </w:rPr>
            </w:pPr>
            <w:r w:rsidRPr="00320851">
              <w:rPr>
                <w:rFonts w:eastAsia="Times New Roman" w:cs="Arial"/>
                <w:sz w:val="16"/>
                <w:szCs w:val="16"/>
              </w:rPr>
              <w:t>Ser uma empresa de pequena-média capitalização (</w:t>
            </w:r>
            <w:proofErr w:type="spellStart"/>
            <w:r w:rsidRPr="00320851">
              <w:rPr>
                <w:rFonts w:eastAsia="Times New Roman" w:cs="Arial"/>
                <w:sz w:val="16"/>
                <w:szCs w:val="16"/>
              </w:rPr>
              <w:t>Small</w:t>
            </w:r>
            <w:proofErr w:type="spellEnd"/>
            <w:r w:rsidRPr="00320851">
              <w:rPr>
                <w:rFonts w:eastAsia="Times New Roman" w:cs="Arial"/>
                <w:sz w:val="16"/>
                <w:szCs w:val="16"/>
              </w:rPr>
              <w:t xml:space="preserve"> </w:t>
            </w:r>
            <w:proofErr w:type="spellStart"/>
            <w:r w:rsidRPr="00320851">
              <w:rPr>
                <w:rFonts w:eastAsia="Times New Roman" w:cs="Arial"/>
                <w:sz w:val="16"/>
                <w:szCs w:val="16"/>
              </w:rPr>
              <w:t>MidCap</w:t>
            </w:r>
            <w:proofErr w:type="spellEnd"/>
            <w:r w:rsidRPr="00320851">
              <w:rPr>
                <w:rFonts w:eastAsia="Times New Roman" w:cs="Arial"/>
                <w:sz w:val="16"/>
                <w:szCs w:val="16"/>
              </w:rPr>
              <w:t>), nos termos do n.º 2, do n.º 3 e do n.º 4 do artigo 2º do Decreto-Lei n.º 372/2007, de 6 de novembro, na sua redação atual, por, não sendo PME, empregar, enquanto empresa autónoma, até 500 trabalhadores (&lt;500).</w:t>
            </w:r>
          </w:p>
          <w:p w14:paraId="2BD6EE49" w14:textId="77777777" w:rsidR="00805D34" w:rsidRPr="00320851" w:rsidRDefault="00805D34" w:rsidP="004C4AB8">
            <w:pPr>
              <w:autoSpaceDE w:val="0"/>
              <w:autoSpaceDN w:val="0"/>
              <w:adjustRightInd w:val="0"/>
              <w:spacing w:after="0" w:line="240" w:lineRule="auto"/>
              <w:rPr>
                <w:rFonts w:cs="Arial"/>
                <w:sz w:val="16"/>
                <w:szCs w:val="16"/>
              </w:rPr>
            </w:pPr>
            <w:r w:rsidRPr="00320851">
              <w:rPr>
                <w:rFonts w:cs="Arial"/>
                <w:noProof/>
                <w:sz w:val="16"/>
                <w:szCs w:val="16"/>
              </w:rPr>
              <mc:AlternateContent>
                <mc:Choice Requires="wps">
                  <w:drawing>
                    <wp:anchor distT="0" distB="0" distL="114300" distR="114300" simplePos="0" relativeHeight="251660288" behindDoc="0" locked="0" layoutInCell="1" allowOverlap="1" wp14:anchorId="341E9E7B" wp14:editId="15B29161">
                      <wp:simplePos x="0" y="0"/>
                      <wp:positionH relativeFrom="column">
                        <wp:posOffset>-8255</wp:posOffset>
                      </wp:positionH>
                      <wp:positionV relativeFrom="paragraph">
                        <wp:posOffset>241319</wp:posOffset>
                      </wp:positionV>
                      <wp:extent cx="218364" cy="190007"/>
                      <wp:effectExtent l="0" t="0" r="10795" b="19685"/>
                      <wp:wrapNone/>
                      <wp:docPr id="10" name="Text Box 10"/>
                      <wp:cNvGraphicFramePr/>
                      <a:graphic xmlns:a="http://schemas.openxmlformats.org/drawingml/2006/main">
                        <a:graphicData uri="http://schemas.microsoft.com/office/word/2010/wordprocessingShape">
                          <wps:wsp>
                            <wps:cNvSpPr txBox="1"/>
                            <wps:spPr>
                              <a:xfrm>
                                <a:off x="0" y="0"/>
                                <a:ext cx="218364" cy="190007"/>
                              </a:xfrm>
                              <a:prstGeom prst="rect">
                                <a:avLst/>
                              </a:prstGeom>
                              <a:solidFill>
                                <a:sysClr val="window" lastClr="FFFFFF"/>
                              </a:solidFill>
                              <a:ln w="6350">
                                <a:solidFill>
                                  <a:prstClr val="black"/>
                                </a:solidFill>
                              </a:ln>
                            </wps:spPr>
                            <wps:txbx>
                              <w:txbxContent>
                                <w:p w14:paraId="25567FFE" w14:textId="77777777" w:rsidR="00805D34" w:rsidRDefault="00805D34" w:rsidP="00805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9E7B" id="Text Box 10" o:spid="_x0000_s1027" type="#_x0000_t202" style="position:absolute;left:0;text-align:left;margin-left:-.65pt;margin-top:19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" fillcolor="window" strokeweight=".5pt">
                      <v:textbox>
                        <w:txbxContent>
                          <w:p w14:paraId="25567FFE" w14:textId="77777777" w:rsidR="00805D34" w:rsidRDefault="00805D34" w:rsidP="00805D34"/>
                        </w:txbxContent>
                      </v:textbox>
                    </v:shape>
                  </w:pict>
                </mc:Fallback>
              </mc:AlternateContent>
            </w:r>
          </w:p>
          <w:p w14:paraId="6F803052" w14:textId="77777777" w:rsidR="00805D34" w:rsidRPr="00320851" w:rsidRDefault="00805D34" w:rsidP="004C4AB8">
            <w:pPr>
              <w:autoSpaceDE w:val="0"/>
              <w:autoSpaceDN w:val="0"/>
              <w:adjustRightInd w:val="0"/>
              <w:spacing w:after="0" w:line="240" w:lineRule="auto"/>
              <w:rPr>
                <w:rFonts w:cs="Arial"/>
                <w:sz w:val="16"/>
                <w:szCs w:val="16"/>
              </w:rPr>
            </w:pPr>
            <w:r w:rsidRPr="00320851">
              <w:rPr>
                <w:rFonts w:cs="Arial"/>
                <w:sz w:val="16"/>
                <w:szCs w:val="16"/>
              </w:rPr>
              <w:t xml:space="preserve">             Declaração de Empresa de Média Capitalização – </w:t>
            </w:r>
            <w:proofErr w:type="spellStart"/>
            <w:r w:rsidRPr="00320851">
              <w:rPr>
                <w:rFonts w:cs="Arial"/>
                <w:sz w:val="16"/>
                <w:szCs w:val="16"/>
              </w:rPr>
              <w:t>MidCap</w:t>
            </w:r>
            <w:proofErr w:type="spellEnd"/>
          </w:p>
          <w:p w14:paraId="23CAB6C6" w14:textId="77777777" w:rsidR="00805D34" w:rsidRPr="00320851" w:rsidRDefault="00805D34" w:rsidP="004C4AB8">
            <w:pPr>
              <w:numPr>
                <w:ilvl w:val="0"/>
                <w:numId w:val="2"/>
              </w:numPr>
              <w:autoSpaceDE w:val="0"/>
              <w:autoSpaceDN w:val="0"/>
              <w:adjustRightInd w:val="0"/>
              <w:spacing w:after="0" w:line="240" w:lineRule="auto"/>
              <w:rPr>
                <w:rFonts w:eastAsia="Times New Roman" w:cs="Arial"/>
                <w:sz w:val="16"/>
                <w:szCs w:val="16"/>
              </w:rPr>
            </w:pPr>
            <w:r w:rsidRPr="00320851">
              <w:rPr>
                <w:rFonts w:eastAsia="Times New Roman" w:cs="Arial"/>
                <w:sz w:val="16"/>
                <w:szCs w:val="16"/>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32D27C82" w14:textId="77777777" w:rsidR="00805D34" w:rsidRPr="00320851" w:rsidRDefault="00805D34" w:rsidP="004C4AB8">
            <w:pPr>
              <w:numPr>
                <w:ilvl w:val="0"/>
                <w:numId w:val="2"/>
              </w:numPr>
              <w:autoSpaceDE w:val="0"/>
              <w:autoSpaceDN w:val="0"/>
              <w:adjustRightInd w:val="0"/>
              <w:spacing w:after="0" w:line="240" w:lineRule="auto"/>
              <w:rPr>
                <w:rFonts w:eastAsia="Times New Roman" w:cs="Arial"/>
                <w:sz w:val="16"/>
                <w:szCs w:val="16"/>
              </w:rPr>
            </w:pPr>
            <w:r w:rsidRPr="00320851">
              <w:rPr>
                <w:rFonts w:eastAsia="Times New Roman" w:cs="Arial"/>
                <w:sz w:val="16"/>
                <w:szCs w:val="16"/>
              </w:rPr>
              <w:t>Ser uma empresa de média capitalização (</w:t>
            </w:r>
            <w:proofErr w:type="spellStart"/>
            <w:r w:rsidRPr="00320851">
              <w:rPr>
                <w:rFonts w:eastAsia="Times New Roman" w:cs="Arial"/>
                <w:sz w:val="16"/>
                <w:szCs w:val="16"/>
              </w:rPr>
              <w:t>MidCap</w:t>
            </w:r>
            <w:proofErr w:type="spellEnd"/>
            <w:r w:rsidRPr="00320851">
              <w:rPr>
                <w:rFonts w:eastAsia="Times New Roman" w:cs="Arial"/>
                <w:sz w:val="16"/>
                <w:szCs w:val="16"/>
              </w:rPr>
              <w:t>), nos termos do n.º 2, do n.º 3 e do n.º 4 do artigo 2º do Decreto-Lei n.º 372/2007, de 6 de novembro, na sua redação atual, por, não sendo PME, empregar, enquanto empresa autónoma, entre 500 e 3000 trabalhadores (&gt;= 500 e &lt;3000).</w:t>
            </w:r>
          </w:p>
          <w:p w14:paraId="4FFF5201" w14:textId="77777777" w:rsidR="00805D34" w:rsidRPr="00320851" w:rsidRDefault="00805D34" w:rsidP="004C4AB8">
            <w:pPr>
              <w:autoSpaceDE w:val="0"/>
              <w:autoSpaceDN w:val="0"/>
              <w:adjustRightInd w:val="0"/>
              <w:spacing w:after="0" w:line="240" w:lineRule="auto"/>
              <w:rPr>
                <w:rFonts w:cs="Arial"/>
                <w:sz w:val="16"/>
                <w:szCs w:val="16"/>
              </w:rPr>
            </w:pPr>
          </w:p>
        </w:tc>
      </w:tr>
      <w:tr w:rsidR="00805D34" w:rsidRPr="00320851" w14:paraId="3E374B69" w14:textId="77777777" w:rsidTr="004C4AB8">
        <w:tc>
          <w:tcPr>
            <w:tcW w:w="391" w:type="dxa"/>
            <w:shd w:val="clear" w:color="auto" w:fill="auto"/>
          </w:tcPr>
          <w:p w14:paraId="5B672C32" w14:textId="77777777" w:rsidR="00805D34" w:rsidRPr="00320851" w:rsidRDefault="00805D34" w:rsidP="004C4AB8">
            <w:pPr>
              <w:autoSpaceDE w:val="0"/>
              <w:autoSpaceDN w:val="0"/>
              <w:adjustRightInd w:val="0"/>
              <w:spacing w:line="360" w:lineRule="auto"/>
              <w:rPr>
                <w:rFonts w:cs="Arial"/>
                <w:sz w:val="16"/>
                <w:szCs w:val="16"/>
              </w:rPr>
            </w:pPr>
            <w:r w:rsidRPr="00320851">
              <w:rPr>
                <w:rFonts w:cs="Arial"/>
                <w:sz w:val="16"/>
                <w:szCs w:val="16"/>
              </w:rPr>
              <w:t>7)</w:t>
            </w:r>
          </w:p>
        </w:tc>
        <w:tc>
          <w:tcPr>
            <w:tcW w:w="9923" w:type="dxa"/>
            <w:gridSpan w:val="2"/>
            <w:shd w:val="clear" w:color="auto" w:fill="auto"/>
          </w:tcPr>
          <w:p w14:paraId="2017702E" w14:textId="77777777" w:rsidR="00805D34" w:rsidRPr="00320851" w:rsidRDefault="00805D34" w:rsidP="004C4AB8">
            <w:pPr>
              <w:autoSpaceDE w:val="0"/>
              <w:autoSpaceDN w:val="0"/>
              <w:adjustRightInd w:val="0"/>
              <w:spacing w:after="0" w:line="240" w:lineRule="auto"/>
              <w:rPr>
                <w:rFonts w:cs="Arial"/>
                <w:noProof/>
                <w:sz w:val="16"/>
                <w:szCs w:val="16"/>
              </w:rPr>
            </w:pPr>
            <w:r w:rsidRPr="00320851">
              <w:rPr>
                <w:rFonts w:eastAsia="Times New Roman" w:cs="Arial"/>
                <w:sz w:val="16"/>
                <w:szCs w:val="16"/>
              </w:rPr>
              <w:t>Que o seu volume de negócio em 2019 foi em pelo menos 30% proveniente de atividade no âmbito da montagem de eventos seja ao nível de infraestruturas ou do audiovisual</w:t>
            </w:r>
          </w:p>
        </w:tc>
      </w:tr>
      <w:tr w:rsidR="00805D34" w:rsidRPr="00320851" w14:paraId="512B73DC" w14:textId="77777777" w:rsidTr="004C4AB8">
        <w:tc>
          <w:tcPr>
            <w:tcW w:w="10314" w:type="dxa"/>
            <w:gridSpan w:val="3"/>
            <w:shd w:val="clear" w:color="auto" w:fill="auto"/>
          </w:tcPr>
          <w:p w14:paraId="6A54C58C" w14:textId="77777777" w:rsidR="00805D34" w:rsidRPr="00320851" w:rsidRDefault="00805D34" w:rsidP="004C4AB8">
            <w:pPr>
              <w:jc w:val="center"/>
              <w:rPr>
                <w:rFonts w:cs="Arial"/>
                <w:sz w:val="16"/>
                <w:szCs w:val="16"/>
              </w:rPr>
            </w:pPr>
            <w:r w:rsidRPr="00320851">
              <w:rPr>
                <w:rFonts w:cs="Arial"/>
                <w:sz w:val="16"/>
                <w:szCs w:val="16"/>
              </w:rPr>
              <w:t>Assinaturas</w:t>
            </w:r>
          </w:p>
        </w:tc>
      </w:tr>
      <w:tr w:rsidR="00805D34" w:rsidRPr="00320851" w14:paraId="6485BAC0" w14:textId="77777777" w:rsidTr="004C4AB8">
        <w:tc>
          <w:tcPr>
            <w:tcW w:w="10314" w:type="dxa"/>
            <w:gridSpan w:val="3"/>
            <w:shd w:val="clear" w:color="auto" w:fill="auto"/>
          </w:tcPr>
          <w:p w14:paraId="0B089D43" w14:textId="77777777" w:rsidR="00805D34" w:rsidRPr="00320851" w:rsidRDefault="00805D34" w:rsidP="004C4AB8">
            <w:pPr>
              <w:jc w:val="center"/>
              <w:rPr>
                <w:rFonts w:cs="Arial"/>
                <w:b/>
                <w:sz w:val="16"/>
                <w:szCs w:val="16"/>
              </w:rPr>
            </w:pPr>
            <w:r w:rsidRPr="00320851">
              <w:rPr>
                <w:rFonts w:cs="Arial"/>
                <w:b/>
                <w:sz w:val="16"/>
                <w:szCs w:val="16"/>
              </w:rPr>
              <w:t>Representantes do Beneficiário</w:t>
            </w:r>
          </w:p>
        </w:tc>
      </w:tr>
      <w:tr w:rsidR="00805D34" w:rsidRPr="00320851" w14:paraId="0DE83AEF" w14:textId="77777777" w:rsidTr="004C4AB8">
        <w:trPr>
          <w:trHeight w:val="1402"/>
        </w:trPr>
        <w:tc>
          <w:tcPr>
            <w:tcW w:w="10314" w:type="dxa"/>
            <w:gridSpan w:val="3"/>
            <w:shd w:val="clear" w:color="auto" w:fill="auto"/>
          </w:tcPr>
          <w:p w14:paraId="795A466A" w14:textId="77777777" w:rsidR="00805D34" w:rsidRPr="00320851" w:rsidRDefault="00805D34" w:rsidP="004C4AB8">
            <w:pPr>
              <w:jc w:val="center"/>
              <w:rPr>
                <w:rFonts w:cs="Arial"/>
                <w:sz w:val="16"/>
                <w:szCs w:val="16"/>
              </w:rPr>
            </w:pPr>
            <w:r w:rsidRPr="00320851">
              <w:rPr>
                <w:rFonts w:cs="Arial"/>
                <w:sz w:val="16"/>
                <w:szCs w:val="16"/>
              </w:rPr>
              <w:t>Data, Assinatura</w:t>
            </w:r>
          </w:p>
          <w:p w14:paraId="174C5B94" w14:textId="77777777" w:rsidR="00805D34" w:rsidRPr="00320851" w:rsidRDefault="00805D34" w:rsidP="004C4AB8">
            <w:pPr>
              <w:jc w:val="center"/>
              <w:rPr>
                <w:rFonts w:cs="Arial"/>
                <w:sz w:val="16"/>
                <w:szCs w:val="16"/>
              </w:rPr>
            </w:pPr>
          </w:p>
          <w:p w14:paraId="6761F509" w14:textId="77777777" w:rsidR="00805D34" w:rsidRPr="00320851" w:rsidRDefault="00805D34" w:rsidP="004C4AB8">
            <w:pPr>
              <w:jc w:val="center"/>
              <w:rPr>
                <w:rFonts w:cs="Arial"/>
                <w:sz w:val="16"/>
                <w:szCs w:val="16"/>
              </w:rPr>
            </w:pPr>
          </w:p>
          <w:p w14:paraId="340243EB" w14:textId="77777777" w:rsidR="00805D34" w:rsidRPr="00320851" w:rsidRDefault="00805D34" w:rsidP="004C4AB8">
            <w:pPr>
              <w:jc w:val="center"/>
              <w:rPr>
                <w:rFonts w:cs="Arial"/>
                <w:sz w:val="16"/>
                <w:szCs w:val="16"/>
              </w:rPr>
            </w:pPr>
          </w:p>
          <w:p w14:paraId="55F46C8E" w14:textId="77777777" w:rsidR="00805D34" w:rsidRPr="00320851" w:rsidRDefault="00805D34" w:rsidP="004C4AB8">
            <w:pPr>
              <w:jc w:val="center"/>
              <w:rPr>
                <w:rFonts w:cs="Arial"/>
                <w:sz w:val="16"/>
                <w:szCs w:val="16"/>
              </w:rPr>
            </w:pPr>
          </w:p>
          <w:p w14:paraId="1CF569CA" w14:textId="77777777" w:rsidR="00805D34" w:rsidRPr="00320851" w:rsidRDefault="00805D34" w:rsidP="004C4AB8">
            <w:pPr>
              <w:jc w:val="center"/>
              <w:rPr>
                <w:rFonts w:cs="Arial"/>
                <w:sz w:val="16"/>
                <w:szCs w:val="16"/>
              </w:rPr>
            </w:pPr>
            <w:r w:rsidRPr="00320851">
              <w:rPr>
                <w:rFonts w:cs="Arial"/>
                <w:sz w:val="16"/>
                <w:szCs w:val="16"/>
              </w:rPr>
              <w:t>OBS: a presente declaração deve ser assinada pelos representantes legais da empresa com poderes para o ato com referência à qualidade em que os representantes assinam e a indicação da firma da sociedade</w:t>
            </w:r>
          </w:p>
        </w:tc>
      </w:tr>
    </w:tbl>
    <w:p w14:paraId="6F5CAAF0" w14:textId="77777777" w:rsidR="0073389C" w:rsidRDefault="0073389C"/>
    <w:sectPr w:rsidR="0073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34"/>
    <w:rsid w:val="0073389C"/>
    <w:rsid w:val="0080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CF3B"/>
  <w15:chartTrackingRefBased/>
  <w15:docId w15:val="{0B039AB7-B14D-4A24-B851-8FB8378C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34"/>
    <w:pPr>
      <w:spacing w:after="200" w:line="280" w:lineRule="atLeast"/>
      <w:jc w:val="both"/>
    </w:pPr>
    <w:rPr>
      <w:rFonts w:ascii="Arial" w:hAnsi="Arial"/>
      <w:color w:val="425563"/>
      <w:sz w:val="1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2021-01-15T15:59:00Z</dcterms:created>
  <dcterms:modified xsi:type="dcterms:W3CDTF">2021-01-15T16:03:00Z</dcterms:modified>
</cp:coreProperties>
</file>